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AD57" w14:textId="5DF7AEFF" w:rsidR="00584C60" w:rsidRPr="00C457A4" w:rsidRDefault="00584C60" w:rsidP="00584C60">
      <w:pPr>
        <w:jc w:val="center"/>
        <w:rPr>
          <w:sz w:val="32"/>
          <w:szCs w:val="32"/>
        </w:rPr>
      </w:pPr>
      <w:bookmarkStart w:id="0" w:name="_GoBack"/>
      <w:bookmarkEnd w:id="0"/>
      <w:r w:rsidRPr="00C457A4">
        <w:rPr>
          <w:sz w:val="32"/>
          <w:szCs w:val="32"/>
        </w:rPr>
        <w:t>Oberlin College</w:t>
      </w:r>
    </w:p>
    <w:p w14:paraId="5C464484" w14:textId="71F08FDC" w:rsidR="00813FF3" w:rsidRPr="00C457A4" w:rsidRDefault="00584C60" w:rsidP="00584C60">
      <w:pPr>
        <w:jc w:val="center"/>
        <w:rPr>
          <w:sz w:val="32"/>
          <w:szCs w:val="32"/>
        </w:rPr>
      </w:pPr>
      <w:r w:rsidRPr="00C457A4">
        <w:rPr>
          <w:sz w:val="32"/>
          <w:szCs w:val="32"/>
        </w:rPr>
        <w:t xml:space="preserve">Instructions on how to direct salary to the </w:t>
      </w:r>
      <w:r w:rsidR="00B33747">
        <w:rPr>
          <w:sz w:val="32"/>
          <w:szCs w:val="32"/>
        </w:rPr>
        <w:t xml:space="preserve">TIAA </w:t>
      </w:r>
      <w:r w:rsidRPr="00C457A4">
        <w:rPr>
          <w:sz w:val="32"/>
          <w:szCs w:val="32"/>
        </w:rPr>
        <w:t>supplemental 403b retirement account</w:t>
      </w:r>
    </w:p>
    <w:p w14:paraId="07835647" w14:textId="52DA5A93" w:rsidR="00584C60" w:rsidRPr="00C457A4" w:rsidRDefault="00584C60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 xml:space="preserve">Log in @ </w:t>
      </w:r>
      <w:hyperlink r:id="rId7" w:history="1">
        <w:r w:rsidRPr="00C457A4">
          <w:rPr>
            <w:rStyle w:val="Hyperlink"/>
            <w:sz w:val="24"/>
            <w:szCs w:val="24"/>
          </w:rPr>
          <w:t>www.tiaa.org</w:t>
        </w:r>
      </w:hyperlink>
    </w:p>
    <w:p w14:paraId="110F8B5C" w14:textId="4C6F5E93" w:rsidR="00584C60" w:rsidRPr="00C457A4" w:rsidRDefault="00584C60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Click “Actions”</w:t>
      </w:r>
    </w:p>
    <w:p w14:paraId="678BFED9" w14:textId="545CB7A0" w:rsidR="00584C60" w:rsidRPr="00C457A4" w:rsidRDefault="00584C60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Click “Manage Contributions” (third link from the bottom of the Retirement Plans column)</w:t>
      </w:r>
    </w:p>
    <w:p w14:paraId="03FD4DFE" w14:textId="6567AD7D" w:rsidR="00584C60" w:rsidRPr="00C457A4" w:rsidRDefault="00584C60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Click “Manage Contributions” link next the Oberlin College retirement plans</w:t>
      </w:r>
    </w:p>
    <w:p w14:paraId="557782C7" w14:textId="552CC5AE" w:rsidR="00584C60" w:rsidRPr="00C457A4" w:rsidRDefault="00584C60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Click the yellow box “Manage My Contributions”</w:t>
      </w:r>
    </w:p>
    <w:p w14:paraId="31A88B77" w14:textId="1D8B871A" w:rsidR="00584C60" w:rsidRPr="00C457A4" w:rsidRDefault="00584C60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Click the yellow box again “Manage Contributions”</w:t>
      </w:r>
    </w:p>
    <w:p w14:paraId="0B022E5B" w14:textId="61C3495A" w:rsidR="00584C60" w:rsidRPr="00C457A4" w:rsidRDefault="00584C60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Enter the percentage of their salary they would like to defer</w:t>
      </w:r>
      <w:r w:rsidR="00F536F8">
        <w:rPr>
          <w:sz w:val="24"/>
          <w:szCs w:val="24"/>
        </w:rPr>
        <w:t xml:space="preserve"> into your retirement account.</w:t>
      </w:r>
      <w:r w:rsidRPr="00C457A4">
        <w:rPr>
          <w:sz w:val="24"/>
          <w:szCs w:val="24"/>
        </w:rPr>
        <w:t xml:space="preserve"> </w:t>
      </w:r>
      <w:r w:rsidR="00F536F8">
        <w:rPr>
          <w:sz w:val="24"/>
          <w:szCs w:val="24"/>
        </w:rPr>
        <w:t>W</w:t>
      </w:r>
      <w:r w:rsidRPr="00C457A4">
        <w:rPr>
          <w:sz w:val="24"/>
          <w:szCs w:val="24"/>
        </w:rPr>
        <w:t xml:space="preserve">e have </w:t>
      </w:r>
      <w:r w:rsidR="002D0CB2">
        <w:rPr>
          <w:sz w:val="24"/>
          <w:szCs w:val="24"/>
        </w:rPr>
        <w:t>your</w:t>
      </w:r>
      <w:r w:rsidRPr="00C457A4">
        <w:rPr>
          <w:sz w:val="24"/>
          <w:szCs w:val="24"/>
        </w:rPr>
        <w:t xml:space="preserve"> payroll information so </w:t>
      </w:r>
      <w:r w:rsidR="001D3912">
        <w:rPr>
          <w:sz w:val="24"/>
          <w:szCs w:val="24"/>
        </w:rPr>
        <w:t>the website</w:t>
      </w:r>
      <w:r w:rsidRPr="00C457A4">
        <w:rPr>
          <w:sz w:val="24"/>
          <w:szCs w:val="24"/>
        </w:rPr>
        <w:t xml:space="preserve"> will tell you how much will</w:t>
      </w:r>
      <w:r w:rsidR="001D3912">
        <w:rPr>
          <w:sz w:val="24"/>
          <w:szCs w:val="24"/>
        </w:rPr>
        <w:t xml:space="preserve"> be deducted from the next</w:t>
      </w:r>
      <w:r w:rsidRPr="00C457A4">
        <w:rPr>
          <w:sz w:val="24"/>
          <w:szCs w:val="24"/>
        </w:rPr>
        <w:t xml:space="preserve"> payroll</w:t>
      </w:r>
      <w:r w:rsidR="008A47AC">
        <w:rPr>
          <w:sz w:val="24"/>
          <w:szCs w:val="24"/>
        </w:rPr>
        <w:t xml:space="preserve"> cycle</w:t>
      </w:r>
      <w:r w:rsidR="004855D2">
        <w:rPr>
          <w:sz w:val="24"/>
          <w:szCs w:val="24"/>
        </w:rPr>
        <w:t>.</w:t>
      </w:r>
      <w:r w:rsidR="00F536F8">
        <w:rPr>
          <w:sz w:val="24"/>
          <w:szCs w:val="24"/>
        </w:rPr>
        <w:t xml:space="preserve"> Also in</w:t>
      </w:r>
      <w:r w:rsidR="008A1DE1">
        <w:rPr>
          <w:sz w:val="24"/>
          <w:szCs w:val="24"/>
        </w:rPr>
        <w:t>cluded</w:t>
      </w:r>
      <w:r w:rsidR="00F536F8">
        <w:rPr>
          <w:sz w:val="24"/>
          <w:szCs w:val="24"/>
        </w:rPr>
        <w:t xml:space="preserve"> on the website is the payroll schedule deadline</w:t>
      </w:r>
      <w:r w:rsidR="008A47AC">
        <w:rPr>
          <w:sz w:val="24"/>
          <w:szCs w:val="24"/>
        </w:rPr>
        <w:t xml:space="preserve"> for each pay period </w:t>
      </w:r>
      <w:r w:rsidR="00F207A1">
        <w:rPr>
          <w:sz w:val="24"/>
          <w:szCs w:val="24"/>
        </w:rPr>
        <w:t xml:space="preserve">for both bi-weekly and monthly </w:t>
      </w:r>
      <w:r w:rsidR="008A1DE1">
        <w:rPr>
          <w:sz w:val="24"/>
          <w:szCs w:val="24"/>
        </w:rPr>
        <w:t>payroll cycles.</w:t>
      </w:r>
    </w:p>
    <w:p w14:paraId="59944D31" w14:textId="0DFEAC2E" w:rsidR="00584C60" w:rsidRPr="00C457A4" w:rsidRDefault="00584C60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Click “Next”</w:t>
      </w:r>
    </w:p>
    <w:p w14:paraId="373F39CF" w14:textId="77777777" w:rsidR="00C457A4" w:rsidRPr="00C457A4" w:rsidRDefault="00C457A4" w:rsidP="00C457A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Click “Save Changes</w:t>
      </w:r>
    </w:p>
    <w:p w14:paraId="7E2017A1" w14:textId="7A8B6F6B" w:rsidR="00584C60" w:rsidRPr="00C457A4" w:rsidRDefault="00C457A4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>Click “</w:t>
      </w:r>
      <w:r w:rsidRPr="00C457A4">
        <w:rPr>
          <w:rFonts w:ascii="Franklin Gothic Book" w:hAnsi="Franklin Gothic Book"/>
          <w:color w:val="000000"/>
          <w:sz w:val="24"/>
          <w:szCs w:val="24"/>
          <w:shd w:val="clear" w:color="auto" w:fill="F4F4F4"/>
        </w:rPr>
        <w:t>I have read and accept these </w:t>
      </w:r>
      <w:hyperlink r:id="rId8" w:history="1">
        <w:r w:rsidRPr="00C457A4">
          <w:rPr>
            <w:rFonts w:ascii="Franklin Gothic Book" w:hAnsi="Franklin Gothic Book"/>
            <w:color w:val="000000"/>
            <w:sz w:val="24"/>
            <w:szCs w:val="24"/>
            <w:u w:val="single"/>
            <w:shd w:val="clear" w:color="auto" w:fill="F4F4F4"/>
          </w:rPr>
          <w:t>Terms &amp; Conditions</w:t>
        </w:r>
      </w:hyperlink>
      <w:r w:rsidRPr="00C457A4">
        <w:rPr>
          <w:sz w:val="24"/>
          <w:szCs w:val="24"/>
        </w:rPr>
        <w:t xml:space="preserve">” </w:t>
      </w:r>
    </w:p>
    <w:p w14:paraId="21206314" w14:textId="523E4764" w:rsidR="00C457A4" w:rsidRPr="00C457A4" w:rsidRDefault="00C457A4" w:rsidP="00584C6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457A4">
        <w:rPr>
          <w:sz w:val="24"/>
          <w:szCs w:val="24"/>
        </w:rPr>
        <w:t xml:space="preserve">Click “Next” </w:t>
      </w:r>
    </w:p>
    <w:p w14:paraId="3A45BA58" w14:textId="1A2D9654" w:rsidR="00C457A4" w:rsidRPr="00C457A4" w:rsidRDefault="00C457A4" w:rsidP="00C457A4">
      <w:pPr>
        <w:jc w:val="both"/>
        <w:rPr>
          <w:sz w:val="24"/>
          <w:szCs w:val="24"/>
        </w:rPr>
      </w:pPr>
      <w:r w:rsidRPr="00C457A4">
        <w:rPr>
          <w:sz w:val="24"/>
          <w:szCs w:val="24"/>
        </w:rPr>
        <w:t xml:space="preserve">For employees who </w:t>
      </w:r>
      <w:r w:rsidRPr="00C457A4">
        <w:rPr>
          <w:b/>
          <w:bCs/>
          <w:i/>
          <w:iCs/>
          <w:sz w:val="24"/>
          <w:szCs w:val="24"/>
          <w:u w:val="single"/>
        </w:rPr>
        <w:t>already have</w:t>
      </w:r>
      <w:r w:rsidRPr="00C457A4">
        <w:rPr>
          <w:sz w:val="24"/>
          <w:szCs w:val="24"/>
        </w:rPr>
        <w:t xml:space="preserve"> an Oberlin Tax Deferred Annuity Plan (the supplemental 403b retirement account) set up – There is nothing left to do. The transaction is complete.</w:t>
      </w:r>
    </w:p>
    <w:p w14:paraId="68C87EC2" w14:textId="3EE5020D" w:rsidR="00C457A4" w:rsidRPr="00C457A4" w:rsidRDefault="00C457A4" w:rsidP="00C457A4">
      <w:pPr>
        <w:jc w:val="both"/>
        <w:rPr>
          <w:sz w:val="24"/>
          <w:szCs w:val="24"/>
        </w:rPr>
      </w:pPr>
      <w:r w:rsidRPr="00C457A4">
        <w:rPr>
          <w:sz w:val="24"/>
          <w:szCs w:val="24"/>
        </w:rPr>
        <w:t xml:space="preserve">For employees who </w:t>
      </w:r>
      <w:r w:rsidRPr="00C457A4">
        <w:rPr>
          <w:b/>
          <w:bCs/>
          <w:i/>
          <w:iCs/>
          <w:sz w:val="24"/>
          <w:szCs w:val="24"/>
          <w:u w:val="single"/>
        </w:rPr>
        <w:t>do not have</w:t>
      </w:r>
      <w:r w:rsidRPr="00C457A4">
        <w:rPr>
          <w:sz w:val="24"/>
          <w:szCs w:val="24"/>
        </w:rPr>
        <w:t xml:space="preserve"> an Oberlin College Tax Deferred Annuity Plan (the supplemental 403b retirement account) set up, they will need to click on “Enroll Now” and enroll on the 403b retirement account. </w:t>
      </w:r>
    </w:p>
    <w:sectPr w:rsidR="00C457A4" w:rsidRPr="00C457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EB71" w14:textId="77777777" w:rsidR="00B463C4" w:rsidRDefault="00B463C4" w:rsidP="00C457A4">
      <w:pPr>
        <w:spacing w:after="0" w:line="240" w:lineRule="auto"/>
      </w:pPr>
      <w:r>
        <w:separator/>
      </w:r>
    </w:p>
  </w:endnote>
  <w:endnote w:type="continuationSeparator" w:id="0">
    <w:p w14:paraId="328C8C07" w14:textId="77777777" w:rsidR="00B463C4" w:rsidRDefault="00B463C4" w:rsidP="00C4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B740C" w14:textId="77777777" w:rsidR="00C457A4" w:rsidRDefault="00C45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5103E" w14:textId="7557AAFB" w:rsidR="00C457A4" w:rsidRDefault="00C457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475C8A" wp14:editId="4BDBF1B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53604440b3be7681ad136194" descr="{&quot;HashCode&quot;:-49676353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465BC7" w14:textId="6832293C" w:rsidR="00C457A4" w:rsidRPr="00C457A4" w:rsidRDefault="00C457A4" w:rsidP="00C457A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57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75C8A" id="_x0000_t202" coordsize="21600,21600" o:spt="202" path="m,l,21600r21600,l21600,xe">
              <v:stroke joinstyle="miter"/>
              <v:path gradientshapeok="t" o:connecttype="rect"/>
            </v:shapetype>
            <v:shape id="MSIPCM53604440b3be7681ad136194" o:spid="_x0000_s1026" type="#_x0000_t202" alt="{&quot;HashCode&quot;:-496763533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" o:allowincell="f" filled="f" stroked="f" strokeweight=".5pt">
              <v:textbox inset=",0,,0">
                <w:txbxContent>
                  <w:p w14:paraId="6E465BC7" w14:textId="6832293C" w:rsidR="00C457A4" w:rsidRPr="00C457A4" w:rsidRDefault="00C457A4" w:rsidP="00C457A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57A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24D0" w14:textId="77777777" w:rsidR="00C457A4" w:rsidRDefault="00C45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AF645" w14:textId="77777777" w:rsidR="00B463C4" w:rsidRDefault="00B463C4" w:rsidP="00C457A4">
      <w:pPr>
        <w:spacing w:after="0" w:line="240" w:lineRule="auto"/>
      </w:pPr>
      <w:r>
        <w:separator/>
      </w:r>
    </w:p>
  </w:footnote>
  <w:footnote w:type="continuationSeparator" w:id="0">
    <w:p w14:paraId="6D19BD06" w14:textId="77777777" w:rsidR="00B463C4" w:rsidRDefault="00B463C4" w:rsidP="00C4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562A9" w14:textId="77777777" w:rsidR="00C457A4" w:rsidRDefault="00C45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492A" w14:textId="77777777" w:rsidR="00C457A4" w:rsidRDefault="00C45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CB521" w14:textId="77777777" w:rsidR="00C457A4" w:rsidRDefault="00C45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E7897"/>
    <w:multiLevelType w:val="hybridMultilevel"/>
    <w:tmpl w:val="2AEAD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60"/>
    <w:rsid w:val="000955B5"/>
    <w:rsid w:val="001A3EF5"/>
    <w:rsid w:val="001D3912"/>
    <w:rsid w:val="00235EF1"/>
    <w:rsid w:val="002B0F86"/>
    <w:rsid w:val="002D0CB2"/>
    <w:rsid w:val="004855D2"/>
    <w:rsid w:val="00491057"/>
    <w:rsid w:val="004A0567"/>
    <w:rsid w:val="00540BB0"/>
    <w:rsid w:val="00584C60"/>
    <w:rsid w:val="00813FF3"/>
    <w:rsid w:val="008A1DE1"/>
    <w:rsid w:val="008A47AC"/>
    <w:rsid w:val="00AD7485"/>
    <w:rsid w:val="00B33747"/>
    <w:rsid w:val="00B463C4"/>
    <w:rsid w:val="00C457A4"/>
    <w:rsid w:val="00CD2DCA"/>
    <w:rsid w:val="00DA2A08"/>
    <w:rsid w:val="00F207A1"/>
    <w:rsid w:val="00F536F8"/>
    <w:rsid w:val="00FA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C5DA4"/>
  <w15:chartTrackingRefBased/>
  <w15:docId w15:val="{67E1222B-C10E-4CA2-B718-C12B424D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C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C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4C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5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7A4"/>
  </w:style>
  <w:style w:type="paragraph" w:styleId="Footer">
    <w:name w:val="footer"/>
    <w:basedOn w:val="Normal"/>
    <w:link w:val="FooterChar"/>
    <w:uiPriority w:val="99"/>
    <w:unhideWhenUsed/>
    <w:rsid w:val="00C45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d.tiaa.org/private/participantretirementtransactions/ecm/contributions/updateallocation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ia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TIAA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Denault, Donald</dc:creator>
  <cp:keywords/>
  <dc:description/>
  <cp:lastModifiedBy>Marion Burnworth</cp:lastModifiedBy>
  <cp:revision>2</cp:revision>
  <dcterms:created xsi:type="dcterms:W3CDTF">2023-03-17T14:52:00Z</dcterms:created>
  <dcterms:modified xsi:type="dcterms:W3CDTF">2023-03-17T14:52:00Z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2268aa-3916-486c-aa2c-ecdcbdaee62c_Enabled">
    <vt:lpwstr>true</vt:lpwstr>
  </property>
  <property fmtid="{D5CDD505-2E9C-101B-9397-08002B2CF9AE}" pid="3" name="MSIP_Label_6c2268aa-3916-486c-aa2c-ecdcbdaee62c_SetDate">
    <vt:lpwstr>2022-12-16T17:37:01Z</vt:lpwstr>
  </property>
  <property fmtid="{D5CDD505-2E9C-101B-9397-08002B2CF9AE}" pid="4" name="MSIP_Label_6c2268aa-3916-486c-aa2c-ecdcbdaee62c_Method">
    <vt:lpwstr>Standard</vt:lpwstr>
  </property>
  <property fmtid="{D5CDD505-2E9C-101B-9397-08002B2CF9AE}" pid="5" name="MSIP_Label_6c2268aa-3916-486c-aa2c-ecdcbdaee62c_Name">
    <vt:lpwstr>TIAA-Sensitivity-Confidential-Standard</vt:lpwstr>
  </property>
  <property fmtid="{D5CDD505-2E9C-101B-9397-08002B2CF9AE}" pid="6" name="MSIP_Label_6c2268aa-3916-486c-aa2c-ecdcbdaee62c_SiteId">
    <vt:lpwstr>67080e55-9c90-409b-9421-7fab7df8331b</vt:lpwstr>
  </property>
  <property fmtid="{D5CDD505-2E9C-101B-9397-08002B2CF9AE}" pid="7" name="MSIP_Label_6c2268aa-3916-486c-aa2c-ecdcbdaee62c_ActionId">
    <vt:lpwstr>058f68f5-09f4-4b37-840a-13e5cc1dbb4e</vt:lpwstr>
  </property>
  <property fmtid="{D5CDD505-2E9C-101B-9397-08002B2CF9AE}" pid="8" name="MSIP_Label_6c2268aa-3916-486c-aa2c-ecdcbdaee62c_ContentBits">
    <vt:lpwstr>2</vt:lpwstr>
  </property>
</Properties>
</file>